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8C1" w:rsidRPr="002108C1" w:rsidRDefault="002108C1" w:rsidP="002108C1">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H69"/>
      <w:bookmarkEnd w:id="0"/>
      <w:r w:rsidRPr="002108C1">
        <w:rPr>
          <w:rFonts w:ascii="inherit" w:eastAsia="Times New Roman" w:hAnsi="inherit" w:cs="Arial"/>
          <w:b/>
          <w:bCs/>
          <w:color w:val="005A9C"/>
          <w:kern w:val="36"/>
          <w:sz w:val="41"/>
          <w:szCs w:val="41"/>
        </w:rPr>
        <w:t>H69: Providing heading elements at the beginning of each section of content</w:t>
      </w:r>
    </w:p>
    <w:p w:rsidR="002108C1" w:rsidRPr="002108C1" w:rsidRDefault="002108C1" w:rsidP="002108C1">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Pr>
          <w:rFonts w:ascii="inherit" w:eastAsia="Times New Roman" w:hAnsi="inherit" w:cs="Arial"/>
          <w:b/>
          <w:bCs/>
          <w:color w:val="000000"/>
          <w:sz w:val="31"/>
          <w:szCs w:val="31"/>
        </w:rPr>
        <w:t>D</w:t>
      </w:r>
      <w:r w:rsidRPr="002108C1">
        <w:rPr>
          <w:rFonts w:ascii="inherit" w:eastAsia="Times New Roman" w:hAnsi="inherit" w:cs="Arial"/>
          <w:b/>
          <w:bCs/>
          <w:color w:val="000000"/>
          <w:sz w:val="31"/>
          <w:szCs w:val="31"/>
        </w:rPr>
        <w:t>escription</w:t>
      </w:r>
    </w:p>
    <w:p w:rsidR="002108C1" w:rsidRPr="002108C1" w:rsidRDefault="002108C1" w:rsidP="002108C1">
      <w:pPr>
        <w:spacing w:before="240" w:after="24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The objective of this technique is to use section headings to convey the structure of the content. Heading markup can be used:</w:t>
      </w:r>
    </w:p>
    <w:p w:rsidR="002108C1" w:rsidRPr="002108C1" w:rsidRDefault="002108C1" w:rsidP="002108C1">
      <w:pPr>
        <w:numPr>
          <w:ilvl w:val="0"/>
          <w:numId w:val="2"/>
        </w:numPr>
        <w:spacing w:after="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to indicate start of main content</w:t>
      </w:r>
    </w:p>
    <w:p w:rsidR="002108C1" w:rsidRPr="002108C1" w:rsidRDefault="002108C1" w:rsidP="002108C1">
      <w:pPr>
        <w:numPr>
          <w:ilvl w:val="0"/>
          <w:numId w:val="2"/>
        </w:numPr>
        <w:spacing w:after="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to mark up section headings within the main content area</w:t>
      </w:r>
    </w:p>
    <w:p w:rsidR="002108C1" w:rsidRPr="002108C1" w:rsidRDefault="002108C1" w:rsidP="002108C1">
      <w:pPr>
        <w:numPr>
          <w:ilvl w:val="0"/>
          <w:numId w:val="2"/>
        </w:numPr>
        <w:spacing w:after="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to demarcate different navigational sections like top or main navigation, left or secondary navigation and footer navigation</w:t>
      </w:r>
    </w:p>
    <w:p w:rsidR="002108C1" w:rsidRPr="002108C1" w:rsidRDefault="002108C1" w:rsidP="002108C1">
      <w:pPr>
        <w:numPr>
          <w:ilvl w:val="0"/>
          <w:numId w:val="2"/>
        </w:numPr>
        <w:spacing w:after="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to mark up images of text that are used as headings</w:t>
      </w:r>
    </w:p>
    <w:p w:rsidR="002108C1" w:rsidRPr="002108C1" w:rsidRDefault="002108C1" w:rsidP="002108C1">
      <w:pPr>
        <w:numPr>
          <w:ilvl w:val="0"/>
          <w:numId w:val="2"/>
        </w:numPr>
        <w:spacing w:after="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to allow users the ability to navigate a page by sections or skip repeated blocks of information</w:t>
      </w:r>
    </w:p>
    <w:p w:rsidR="002108C1" w:rsidRPr="002108C1" w:rsidRDefault="002108C1" w:rsidP="002108C1">
      <w:pPr>
        <w:spacing w:before="240" w:after="24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Headings are designed to convey logical hierarchy. Skipping levels in the sequence of headings may create the impression that the structure of the document has not been properly thought through or that specific headings have been chosen for their visual rendering rather than their meaning. Authors are encouraged to nest headings hierarchically. When headings are nested hierarchically, the most important information is given the highest logical level, and subsections are given subsequent logical </w:t>
      </w:r>
      <w:proofErr w:type="gramStart"/>
      <w:r w:rsidRPr="002108C1">
        <w:rPr>
          <w:rFonts w:ascii="Arial" w:eastAsia="Times New Roman" w:hAnsi="Arial" w:cs="Arial"/>
          <w:color w:val="000000"/>
          <w:sz w:val="24"/>
          <w:szCs w:val="24"/>
        </w:rPr>
        <w:t>levels.(</w:t>
      </w:r>
      <w:proofErr w:type="gramEnd"/>
      <w:r w:rsidRPr="002108C1">
        <w:rPr>
          <w:rFonts w:ascii="Arial" w:eastAsia="Times New Roman" w:hAnsi="Arial" w:cs="Arial"/>
          <w:color w:val="000000"/>
          <w:sz w:val="24"/>
          <w:szCs w:val="24"/>
        </w:rPr>
        <w:t>i.e., h2 is a subsection of h1). Providing this type of structure will help users understand the overall organization of the content more easily.</w:t>
      </w:r>
    </w:p>
    <w:p w:rsidR="002108C1" w:rsidRPr="002108C1" w:rsidRDefault="002108C1" w:rsidP="002108C1">
      <w:pPr>
        <w:spacing w:before="240" w:after="24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Since headings indicate the start of important sections of content, it is possible for users with assistive technology to jump directly to the appropriate heading and begin reading the content. This significantly speeds interaction for users who would otherwise access the content slowly. Headings create chunks of information that can be found easily by people with disabilities, such as a blind person using a screen reader, or a person with a cognitive disability who uses assistive technology that delineates groups of information, or someone with a communication disability or illiteracy, who uses a screen reader to assist them in their reading. </w:t>
      </w:r>
    </w:p>
    <w:p w:rsidR="002108C1" w:rsidRPr="002108C1" w:rsidRDefault="002108C1" w:rsidP="002108C1">
      <w:pPr>
        <w:shd w:val="clear" w:color="auto" w:fill="E9FBE9"/>
        <w:spacing w:before="60" w:after="120" w:line="240" w:lineRule="auto"/>
        <w:rPr>
          <w:rFonts w:ascii="Arial" w:eastAsia="Times New Roman" w:hAnsi="Arial" w:cs="Arial"/>
          <w:color w:val="000000"/>
          <w:sz w:val="24"/>
          <w:szCs w:val="24"/>
        </w:rPr>
      </w:pPr>
      <w:r w:rsidRPr="002108C1">
        <w:rPr>
          <w:rFonts w:ascii="Arial" w:eastAsia="Times New Roman" w:hAnsi="Arial" w:cs="Arial"/>
          <w:i/>
          <w:iCs/>
          <w:color w:val="000000"/>
          <w:sz w:val="24"/>
          <w:szCs w:val="24"/>
        </w:rPr>
        <w:t xml:space="preserve">Note: </w:t>
      </w:r>
      <w:r w:rsidRPr="002108C1">
        <w:rPr>
          <w:rFonts w:ascii="Arial" w:eastAsia="Times New Roman" w:hAnsi="Arial" w:cs="Arial"/>
          <w:color w:val="000000"/>
          <w:sz w:val="24"/>
          <w:szCs w:val="24"/>
        </w:rPr>
        <w:t>All of our techniques assume that people needing special user agents (including AT or special plug-ins) will get and be using that type user agent (</w:t>
      </w:r>
      <w:proofErr w:type="spellStart"/>
      <w:r w:rsidRPr="002108C1">
        <w:rPr>
          <w:rFonts w:ascii="Arial" w:eastAsia="Times New Roman" w:hAnsi="Arial" w:cs="Arial"/>
          <w:color w:val="000000"/>
          <w:sz w:val="24"/>
          <w:szCs w:val="24"/>
        </w:rPr>
        <w:t>eg</w:t>
      </w:r>
      <w:proofErr w:type="spellEnd"/>
      <w:r w:rsidRPr="002108C1">
        <w:rPr>
          <w:rFonts w:ascii="Arial" w:eastAsia="Times New Roman" w:hAnsi="Arial" w:cs="Arial"/>
          <w:color w:val="000000"/>
          <w:sz w:val="24"/>
          <w:szCs w:val="24"/>
        </w:rPr>
        <w:t xml:space="preserve"> screen reader, or plug-in that allows keyboard navigation of properly marked up content, </w:t>
      </w:r>
      <w:proofErr w:type="spellStart"/>
      <w:r w:rsidRPr="002108C1">
        <w:rPr>
          <w:rFonts w:ascii="Arial" w:eastAsia="Times New Roman" w:hAnsi="Arial" w:cs="Arial"/>
          <w:color w:val="000000"/>
          <w:sz w:val="24"/>
          <w:szCs w:val="24"/>
        </w:rPr>
        <w:t>etc</w:t>
      </w:r>
      <w:proofErr w:type="spellEnd"/>
      <w:r w:rsidRPr="002108C1">
        <w:rPr>
          <w:rFonts w:ascii="Arial" w:eastAsia="Times New Roman" w:hAnsi="Arial" w:cs="Arial"/>
          <w:color w:val="000000"/>
          <w:sz w:val="24"/>
          <w:szCs w:val="24"/>
        </w:rPr>
        <w:t>).</w:t>
      </w:r>
    </w:p>
    <w:p w:rsidR="002108C1" w:rsidRPr="002108C1" w:rsidRDefault="002108C1" w:rsidP="002108C1">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1" w:name="PDF9"/>
      <w:bookmarkEnd w:id="1"/>
      <w:r w:rsidRPr="002108C1">
        <w:rPr>
          <w:rFonts w:ascii="inherit" w:eastAsia="Times New Roman" w:hAnsi="inherit" w:cs="Arial"/>
          <w:b/>
          <w:bCs/>
          <w:color w:val="005A9C"/>
          <w:kern w:val="36"/>
          <w:sz w:val="41"/>
          <w:szCs w:val="41"/>
        </w:rPr>
        <w:lastRenderedPageBreak/>
        <w:t>PDF9: Providing headings by marking content with heading tags in PDF documents</w:t>
      </w:r>
    </w:p>
    <w:p w:rsidR="002108C1" w:rsidRPr="002108C1" w:rsidRDefault="002108C1" w:rsidP="002108C1">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108C1">
        <w:rPr>
          <w:rFonts w:ascii="inherit" w:eastAsia="Times New Roman" w:hAnsi="inherit" w:cs="Arial"/>
          <w:b/>
          <w:bCs/>
          <w:color w:val="000000"/>
          <w:sz w:val="31"/>
          <w:szCs w:val="31"/>
        </w:rPr>
        <w:t>Description</w:t>
      </w:r>
    </w:p>
    <w:p w:rsidR="002108C1" w:rsidRPr="002108C1" w:rsidRDefault="002108C1" w:rsidP="002108C1">
      <w:pPr>
        <w:spacing w:before="240" w:after="24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The purpose of this technique is to show how headings in PDF documents can be marked so that they are recognized by assistive technologies. Headings are marked up using the heading elements (H, H1, H2, ... H6) in the structure tree. This is typically accomplished by using a tool for authoring PDF. </w:t>
      </w:r>
    </w:p>
    <w:p w:rsidR="002108C1" w:rsidRPr="002108C1" w:rsidRDefault="002108C1" w:rsidP="002108C1">
      <w:pPr>
        <w:spacing w:before="240" w:after="24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Heading markup can be used: </w:t>
      </w:r>
    </w:p>
    <w:p w:rsidR="002108C1" w:rsidRPr="002108C1" w:rsidRDefault="002108C1" w:rsidP="002108C1">
      <w:pPr>
        <w:numPr>
          <w:ilvl w:val="0"/>
          <w:numId w:val="4"/>
        </w:numPr>
        <w:spacing w:after="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to indicate start of main content </w:t>
      </w:r>
    </w:p>
    <w:p w:rsidR="002108C1" w:rsidRPr="002108C1" w:rsidRDefault="002108C1" w:rsidP="002108C1">
      <w:pPr>
        <w:numPr>
          <w:ilvl w:val="0"/>
          <w:numId w:val="4"/>
        </w:numPr>
        <w:spacing w:after="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to mark up section headings within the main content area </w:t>
      </w:r>
    </w:p>
    <w:p w:rsidR="002108C1" w:rsidRPr="002108C1" w:rsidRDefault="002108C1" w:rsidP="002108C1">
      <w:pPr>
        <w:numPr>
          <w:ilvl w:val="0"/>
          <w:numId w:val="4"/>
        </w:numPr>
        <w:spacing w:after="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to demarcate different navigational sections, such as top or main navigation, left or secondary navigation, and footer navigation </w:t>
      </w:r>
    </w:p>
    <w:p w:rsidR="002108C1" w:rsidRPr="002108C1" w:rsidRDefault="002108C1" w:rsidP="002108C1">
      <w:pPr>
        <w:numPr>
          <w:ilvl w:val="0"/>
          <w:numId w:val="4"/>
        </w:numPr>
        <w:spacing w:after="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to mark up images (containing text) which have the appearance of headings visually. </w:t>
      </w:r>
    </w:p>
    <w:p w:rsidR="002108C1" w:rsidRPr="002108C1" w:rsidRDefault="002108C1" w:rsidP="002108C1">
      <w:pPr>
        <w:spacing w:before="240" w:after="24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Because headings indicate the start of important sections of content, it is possible for assistive technology users to access the list of headings and to jump directly to the appropriate heading and begin reading the content. This ability to "skim" the content through the headings and go directly to content of interest significantly speeds interaction for users who would otherwise access the content slowly. </w:t>
      </w:r>
    </w:p>
    <w:p w:rsidR="002108C1" w:rsidRPr="002108C1" w:rsidRDefault="002108C1" w:rsidP="002108C1">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2" w:name="H70"/>
      <w:bookmarkEnd w:id="2"/>
      <w:r w:rsidRPr="002108C1">
        <w:rPr>
          <w:rFonts w:ascii="inherit" w:eastAsia="Times New Roman" w:hAnsi="inherit" w:cs="Arial"/>
          <w:b/>
          <w:bCs/>
          <w:color w:val="005A9C"/>
          <w:kern w:val="36"/>
          <w:sz w:val="41"/>
          <w:szCs w:val="41"/>
        </w:rPr>
        <w:t>H70: Using frame elements to group blocks of repeated material</w:t>
      </w:r>
    </w:p>
    <w:p w:rsidR="002108C1" w:rsidRPr="002108C1" w:rsidRDefault="002108C1" w:rsidP="002108C1">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108C1">
        <w:rPr>
          <w:rFonts w:ascii="inherit" w:eastAsia="Times New Roman" w:hAnsi="inherit" w:cs="Arial"/>
          <w:b/>
          <w:bCs/>
          <w:color w:val="000000"/>
          <w:sz w:val="31"/>
          <w:szCs w:val="31"/>
        </w:rPr>
        <w:t>Description</w:t>
      </w:r>
    </w:p>
    <w:p w:rsidR="002108C1" w:rsidRPr="002108C1" w:rsidRDefault="002108C1" w:rsidP="002108C1">
      <w:pPr>
        <w:spacing w:before="240" w:after="24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The objective of this technique is to demonstrate how framesets can be used to group blocks of repeated material. Since most user agents and assistive technology provide a way to navigate from frame to frame, using frames to organize elements can provide a mechanism for easily bypassing blocks of repeated content. If the site uses framesets, organize the blocks of content into separate frames. Make certain that the repeated blocks of content appear in the same frame within the frameset of each Web page. In addition, each frame element must have a title attribute to describe the content of the frame. When frames are properly titled, users can use frame navigation to easily navigate between blocks of content.</w:t>
      </w:r>
    </w:p>
    <w:p w:rsidR="002108C1" w:rsidRPr="002108C1" w:rsidRDefault="002108C1" w:rsidP="002108C1">
      <w:pPr>
        <w:spacing w:before="240" w:after="240" w:line="240" w:lineRule="auto"/>
        <w:ind w:left="240"/>
        <w:rPr>
          <w:rFonts w:ascii="Arial" w:eastAsia="Times New Roman" w:hAnsi="Arial" w:cs="Arial"/>
          <w:color w:val="000000"/>
          <w:sz w:val="24"/>
          <w:szCs w:val="24"/>
        </w:rPr>
      </w:pPr>
      <w:r w:rsidRPr="002108C1">
        <w:rPr>
          <w:rFonts w:ascii="Arial" w:eastAsia="Times New Roman" w:hAnsi="Arial" w:cs="Arial"/>
          <w:color w:val="000000"/>
          <w:sz w:val="24"/>
          <w:szCs w:val="24"/>
        </w:rPr>
        <w:t xml:space="preserve">This technique is appropriate when framesets are already used to organize the content of the page; other techniques are preferred for pages that are not already using framesets, because many people using assistive technology have trouble with </w:t>
      </w:r>
      <w:proofErr w:type="gramStart"/>
      <w:r w:rsidRPr="002108C1">
        <w:rPr>
          <w:rFonts w:ascii="Arial" w:eastAsia="Times New Roman" w:hAnsi="Arial" w:cs="Arial"/>
          <w:color w:val="000000"/>
          <w:sz w:val="24"/>
          <w:szCs w:val="24"/>
        </w:rPr>
        <w:lastRenderedPageBreak/>
        <w:t>frames .</w:t>
      </w:r>
      <w:proofErr w:type="gramEnd"/>
      <w:r w:rsidRPr="002108C1">
        <w:rPr>
          <w:rFonts w:ascii="Arial" w:eastAsia="Times New Roman" w:hAnsi="Arial" w:cs="Arial"/>
          <w:color w:val="000000"/>
          <w:sz w:val="24"/>
          <w:szCs w:val="24"/>
        </w:rPr>
        <w:t xml:space="preserve"> An advisory technique about using </w:t>
      </w:r>
      <w:proofErr w:type="spellStart"/>
      <w:r w:rsidRPr="002108C1">
        <w:rPr>
          <w:rFonts w:ascii="Arial" w:eastAsia="Times New Roman" w:hAnsi="Arial" w:cs="Arial"/>
          <w:color w:val="000000"/>
          <w:sz w:val="24"/>
          <w:szCs w:val="24"/>
        </w:rPr>
        <w:t>noframes</w:t>
      </w:r>
      <w:proofErr w:type="spellEnd"/>
      <w:r w:rsidRPr="002108C1">
        <w:rPr>
          <w:rFonts w:ascii="Arial" w:eastAsia="Times New Roman" w:hAnsi="Arial" w:cs="Arial"/>
          <w:color w:val="000000"/>
          <w:sz w:val="24"/>
          <w:szCs w:val="24"/>
        </w:rPr>
        <w:t xml:space="preserve"> is available in </w:t>
      </w:r>
      <w:hyperlink r:id="rId5" w:history="1">
        <w:r w:rsidRPr="002108C1">
          <w:rPr>
            <w:rFonts w:ascii="Arial" w:eastAsia="Times New Roman" w:hAnsi="Arial" w:cs="Arial"/>
            <w:color w:val="0000FF"/>
            <w:sz w:val="24"/>
            <w:szCs w:val="24"/>
            <w:u w:val="single"/>
          </w:rPr>
          <w:t>Success Criterion 1.1.1</w:t>
        </w:r>
      </w:hyperlink>
      <w:r w:rsidRPr="002108C1">
        <w:rPr>
          <w:rFonts w:ascii="Arial" w:eastAsia="Times New Roman" w:hAnsi="Arial" w:cs="Arial"/>
          <w:color w:val="000000"/>
          <w:sz w:val="24"/>
          <w:szCs w:val="24"/>
        </w:rPr>
        <w:t xml:space="preserve">. </w:t>
      </w:r>
    </w:p>
    <w:p w:rsidR="00E4421A" w:rsidRPr="00E4421A" w:rsidRDefault="00E4421A" w:rsidP="00E4421A">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3" w:name="SCR28"/>
      <w:bookmarkEnd w:id="3"/>
      <w:r w:rsidRPr="00E4421A">
        <w:rPr>
          <w:rFonts w:ascii="inherit" w:eastAsia="Times New Roman" w:hAnsi="inherit" w:cs="Arial"/>
          <w:b/>
          <w:bCs/>
          <w:color w:val="005A9C"/>
          <w:kern w:val="36"/>
          <w:sz w:val="41"/>
          <w:szCs w:val="41"/>
        </w:rPr>
        <w:t>SCR28: Using an expandable and collapsible menu to bypass block of content</w:t>
      </w:r>
    </w:p>
    <w:p w:rsidR="00E4421A" w:rsidRPr="00E4421A" w:rsidRDefault="00E4421A" w:rsidP="00E4421A">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E4421A">
        <w:rPr>
          <w:rFonts w:ascii="inherit" w:eastAsia="Times New Roman" w:hAnsi="inherit" w:cs="Arial"/>
          <w:b/>
          <w:bCs/>
          <w:color w:val="000000"/>
          <w:sz w:val="31"/>
          <w:szCs w:val="31"/>
        </w:rPr>
        <w:t>Description</w:t>
      </w:r>
    </w:p>
    <w:p w:rsidR="00E4421A" w:rsidRPr="00E4421A" w:rsidRDefault="00E4421A" w:rsidP="00E4421A">
      <w:pPr>
        <w:spacing w:before="240" w:after="240" w:line="240" w:lineRule="auto"/>
        <w:ind w:left="240"/>
        <w:rPr>
          <w:rFonts w:ascii="Arial" w:eastAsia="Times New Roman" w:hAnsi="Arial" w:cs="Arial"/>
          <w:color w:val="000000"/>
          <w:sz w:val="24"/>
          <w:szCs w:val="24"/>
        </w:rPr>
      </w:pPr>
      <w:r w:rsidRPr="00E4421A">
        <w:rPr>
          <w:rFonts w:ascii="Arial" w:eastAsia="Times New Roman" w:hAnsi="Arial" w:cs="Arial"/>
          <w:color w:val="000000"/>
          <w:sz w:val="24"/>
          <w:szCs w:val="24"/>
        </w:rPr>
        <w:t>This technique allows users to skip repeated material by placing that material in a menu that can be expanded or collapsed under user control. The user can skip the repeated material by collapsing the menu. The user invokes a user interface control to hide or remove the elements of the menu. The resources section lists several techniques for menus, toolbars and trees, any of which can be used to provide a mechanism for skipping navigation.</w:t>
      </w:r>
    </w:p>
    <w:p w:rsidR="00E4421A" w:rsidRPr="00E4421A" w:rsidRDefault="00E4421A" w:rsidP="00E4421A">
      <w:pPr>
        <w:shd w:val="clear" w:color="auto" w:fill="E9FBE9"/>
        <w:spacing w:before="60" w:after="120" w:line="240" w:lineRule="auto"/>
        <w:rPr>
          <w:rFonts w:ascii="Arial" w:eastAsia="Times New Roman" w:hAnsi="Arial" w:cs="Arial"/>
          <w:color w:val="000000"/>
          <w:sz w:val="24"/>
          <w:szCs w:val="24"/>
        </w:rPr>
      </w:pPr>
      <w:r w:rsidRPr="00E4421A">
        <w:rPr>
          <w:rFonts w:ascii="Arial" w:eastAsia="Times New Roman" w:hAnsi="Arial" w:cs="Arial"/>
          <w:i/>
          <w:iCs/>
          <w:color w:val="000000"/>
          <w:sz w:val="24"/>
          <w:szCs w:val="24"/>
        </w:rPr>
        <w:t xml:space="preserve">Note: </w:t>
      </w:r>
      <w:proofErr w:type="spellStart"/>
      <w:r w:rsidRPr="00E4421A">
        <w:rPr>
          <w:rFonts w:ascii="Arial" w:eastAsia="Times New Roman" w:hAnsi="Arial" w:cs="Arial"/>
          <w:color w:val="000000"/>
          <w:sz w:val="24"/>
          <w:szCs w:val="24"/>
        </w:rPr>
        <w:t>Similiar</w:t>
      </w:r>
      <w:proofErr w:type="spellEnd"/>
      <w:r w:rsidRPr="00E4421A">
        <w:rPr>
          <w:rFonts w:ascii="Arial" w:eastAsia="Times New Roman" w:hAnsi="Arial" w:cs="Arial"/>
          <w:color w:val="000000"/>
          <w:sz w:val="24"/>
          <w:szCs w:val="24"/>
        </w:rPr>
        <w:t xml:space="preserve"> approaches can be implemented using server-side scripting and reloading a modified version of the Web page.</w:t>
      </w:r>
      <w:bookmarkStart w:id="4" w:name="_GoBack"/>
      <w:bookmarkEnd w:id="4"/>
    </w:p>
    <w:p w:rsidR="00E4421A" w:rsidRPr="00E4421A" w:rsidRDefault="00E4421A" w:rsidP="00E4421A">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5" w:name="SL29"/>
      <w:bookmarkEnd w:id="5"/>
      <w:r w:rsidRPr="00E4421A">
        <w:rPr>
          <w:rFonts w:ascii="inherit" w:eastAsia="Times New Roman" w:hAnsi="inherit" w:cs="Arial"/>
          <w:b/>
          <w:bCs/>
          <w:color w:val="005A9C"/>
          <w:kern w:val="36"/>
          <w:sz w:val="41"/>
          <w:szCs w:val="41"/>
        </w:rPr>
        <w:t>SL29: Using Silverlight "List" Controls to Define Blocks that can be Bypassed</w:t>
      </w:r>
    </w:p>
    <w:p w:rsidR="00E4421A" w:rsidRPr="00E4421A" w:rsidRDefault="00E4421A" w:rsidP="00E4421A">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E4421A">
        <w:rPr>
          <w:rFonts w:ascii="inherit" w:eastAsia="Times New Roman" w:hAnsi="inherit" w:cs="Arial"/>
          <w:b/>
          <w:bCs/>
          <w:color w:val="000000"/>
          <w:sz w:val="31"/>
          <w:szCs w:val="31"/>
        </w:rPr>
        <w:t>Description</w:t>
      </w:r>
    </w:p>
    <w:p w:rsidR="00E4421A" w:rsidRPr="00E4421A" w:rsidRDefault="00E4421A" w:rsidP="00E4421A">
      <w:pPr>
        <w:spacing w:before="240" w:after="240" w:line="240" w:lineRule="auto"/>
        <w:ind w:left="240"/>
        <w:rPr>
          <w:rFonts w:ascii="Arial" w:eastAsia="Times New Roman" w:hAnsi="Arial" w:cs="Arial"/>
          <w:color w:val="000000"/>
          <w:sz w:val="24"/>
          <w:szCs w:val="24"/>
        </w:rPr>
      </w:pPr>
      <w:r w:rsidRPr="00E4421A">
        <w:rPr>
          <w:rFonts w:ascii="Arial" w:eastAsia="Times New Roman" w:hAnsi="Arial" w:cs="Arial"/>
          <w:color w:val="000000"/>
          <w:sz w:val="24"/>
          <w:szCs w:val="24"/>
        </w:rPr>
        <w:t xml:space="preserve">The objective of this technique is to use some of the basic user interface objects in </w:t>
      </w:r>
      <w:proofErr w:type="spellStart"/>
      <w:r w:rsidRPr="00E4421A">
        <w:rPr>
          <w:rFonts w:ascii="Arial" w:eastAsia="Times New Roman" w:hAnsi="Arial" w:cs="Arial"/>
          <w:color w:val="000000"/>
          <w:sz w:val="24"/>
          <w:szCs w:val="24"/>
        </w:rPr>
        <w:t>Silveright</w:t>
      </w:r>
      <w:proofErr w:type="spellEnd"/>
      <w:r w:rsidRPr="00E4421A">
        <w:rPr>
          <w:rFonts w:ascii="Arial" w:eastAsia="Times New Roman" w:hAnsi="Arial" w:cs="Arial"/>
          <w:color w:val="000000"/>
          <w:sz w:val="24"/>
          <w:szCs w:val="24"/>
        </w:rPr>
        <w:t xml:space="preserve"> to produce blocks of content that are identified as a "List" to accessibility frameworks and to Silverlight's own tab sequence navigation behavior. </w:t>
      </w:r>
    </w:p>
    <w:p w:rsidR="00E4421A" w:rsidRPr="00E4421A" w:rsidRDefault="00E4421A" w:rsidP="00E4421A">
      <w:pPr>
        <w:spacing w:before="240" w:after="240" w:line="240" w:lineRule="auto"/>
        <w:ind w:left="240"/>
        <w:rPr>
          <w:rFonts w:ascii="Arial" w:eastAsia="Times New Roman" w:hAnsi="Arial" w:cs="Arial"/>
          <w:color w:val="000000"/>
          <w:sz w:val="24"/>
          <w:szCs w:val="24"/>
        </w:rPr>
      </w:pPr>
      <w:r w:rsidRPr="00E4421A">
        <w:rPr>
          <w:rFonts w:ascii="Arial" w:eastAsia="Times New Roman" w:hAnsi="Arial" w:cs="Arial"/>
          <w:color w:val="000000"/>
          <w:sz w:val="24"/>
          <w:szCs w:val="24"/>
        </w:rPr>
        <w:t xml:space="preserve">Using the "List" technique results in a tab sequence behavior whereby that element is treated as a single tab stop, even if that element has </w:t>
      </w:r>
      <w:proofErr w:type="spellStart"/>
      <w:r w:rsidRPr="00E4421A">
        <w:rPr>
          <w:rFonts w:ascii="Arial" w:eastAsia="Times New Roman" w:hAnsi="Arial" w:cs="Arial"/>
          <w:color w:val="000000"/>
          <w:sz w:val="24"/>
          <w:szCs w:val="24"/>
        </w:rPr>
        <w:t>consituent</w:t>
      </w:r>
      <w:proofErr w:type="spellEnd"/>
      <w:r w:rsidRPr="00E4421A">
        <w:rPr>
          <w:rFonts w:ascii="Arial" w:eastAsia="Times New Roman" w:hAnsi="Arial" w:cs="Arial"/>
          <w:color w:val="000000"/>
          <w:sz w:val="24"/>
          <w:szCs w:val="24"/>
        </w:rPr>
        <w:t xml:space="preserve"> elements (the list items) that would otherwise be considered additional tab stops in the main tab sequence. In the default key handling, when the user presses the TAB key while focus is on a List, the focus goes to the next element after the List. To focus the items of the list, the user would press the Arrow keys rather than TAB. In the Silverlight programming model for controls, this tab sequence behavior is expressed by the </w:t>
      </w:r>
      <w:proofErr w:type="spellStart"/>
      <w:r w:rsidRPr="00E4421A">
        <w:rPr>
          <w:rFonts w:ascii="Courier New" w:eastAsia="Times New Roman" w:hAnsi="Courier New" w:cs="Courier New"/>
          <w:color w:val="000000"/>
        </w:rPr>
        <w:t>TabNavigation</w:t>
      </w:r>
      <w:proofErr w:type="spellEnd"/>
      <w:r w:rsidRPr="00E4421A">
        <w:rPr>
          <w:rFonts w:ascii="Arial" w:eastAsia="Times New Roman" w:hAnsi="Arial" w:cs="Arial"/>
          <w:color w:val="000000"/>
          <w:sz w:val="24"/>
          <w:szCs w:val="24"/>
        </w:rPr>
        <w:t xml:space="preserve"> property holding the value of </w:t>
      </w:r>
      <w:r w:rsidRPr="00E4421A">
        <w:rPr>
          <w:rFonts w:ascii="Courier New" w:eastAsia="Times New Roman" w:hAnsi="Courier New" w:cs="Courier New"/>
          <w:color w:val="000000"/>
        </w:rPr>
        <w:t>Once</w:t>
      </w:r>
      <w:r w:rsidRPr="00E4421A">
        <w:rPr>
          <w:rFonts w:ascii="Arial" w:eastAsia="Times New Roman" w:hAnsi="Arial" w:cs="Arial"/>
          <w:color w:val="000000"/>
          <w:sz w:val="24"/>
          <w:szCs w:val="24"/>
        </w:rPr>
        <w:t xml:space="preserve">. The Silverlight </w:t>
      </w:r>
      <w:hyperlink r:id="rId6" w:history="1">
        <w:proofErr w:type="spellStart"/>
        <w:r w:rsidRPr="00E4421A">
          <w:rPr>
            <w:rFonts w:ascii="Arial" w:eastAsia="Times New Roman" w:hAnsi="Arial" w:cs="Arial"/>
            <w:color w:val="0000FF"/>
            <w:sz w:val="24"/>
            <w:szCs w:val="24"/>
            <w:u w:val="single"/>
          </w:rPr>
          <w:t>ListBox</w:t>
        </w:r>
        <w:proofErr w:type="spellEnd"/>
      </w:hyperlink>
      <w:r w:rsidRPr="00E4421A">
        <w:rPr>
          <w:rFonts w:ascii="Arial" w:eastAsia="Times New Roman" w:hAnsi="Arial" w:cs="Arial"/>
          <w:color w:val="000000"/>
          <w:sz w:val="24"/>
          <w:szCs w:val="24"/>
        </w:rPr>
        <w:t xml:space="preserve"> is a control that reports itself as "List" role, and that has a default </w:t>
      </w:r>
      <w:hyperlink r:id="rId7" w:history="1">
        <w:proofErr w:type="spellStart"/>
        <w:r w:rsidRPr="00E4421A">
          <w:rPr>
            <w:rFonts w:ascii="Arial" w:eastAsia="Times New Roman" w:hAnsi="Arial" w:cs="Arial"/>
            <w:color w:val="0000FF"/>
            <w:sz w:val="24"/>
            <w:szCs w:val="24"/>
            <w:u w:val="single"/>
          </w:rPr>
          <w:t>TabNavigation.Once</w:t>
        </w:r>
        <w:proofErr w:type="spellEnd"/>
      </w:hyperlink>
      <w:r w:rsidRPr="00E4421A">
        <w:rPr>
          <w:rFonts w:ascii="Arial" w:eastAsia="Times New Roman" w:hAnsi="Arial" w:cs="Arial"/>
          <w:color w:val="000000"/>
          <w:sz w:val="24"/>
          <w:szCs w:val="24"/>
        </w:rPr>
        <w:t xml:space="preserve"> value. Thus </w:t>
      </w:r>
      <w:hyperlink r:id="rId8" w:history="1">
        <w:proofErr w:type="spellStart"/>
        <w:r w:rsidRPr="00E4421A">
          <w:rPr>
            <w:rFonts w:ascii="Arial" w:eastAsia="Times New Roman" w:hAnsi="Arial" w:cs="Arial"/>
            <w:color w:val="0000FF"/>
            <w:sz w:val="24"/>
            <w:szCs w:val="24"/>
            <w:u w:val="single"/>
          </w:rPr>
          <w:t>ListBox</w:t>
        </w:r>
        <w:proofErr w:type="spellEnd"/>
      </w:hyperlink>
      <w:r w:rsidRPr="00E4421A">
        <w:rPr>
          <w:rFonts w:ascii="Arial" w:eastAsia="Times New Roman" w:hAnsi="Arial" w:cs="Arial"/>
          <w:color w:val="000000"/>
          <w:sz w:val="24"/>
          <w:szCs w:val="24"/>
        </w:rPr>
        <w:t xml:space="preserve"> as per this technique is a lightweight technique for producing blocks that can be bypassed. It is specifically a lightweight technique because it can be accomplished by writing simple application-level XAML and using only the Silverlight core libraries. </w:t>
      </w:r>
    </w:p>
    <w:p w:rsidR="00E4421A" w:rsidRPr="00E4421A" w:rsidRDefault="00E4421A" w:rsidP="00E4421A">
      <w:pPr>
        <w:spacing w:before="240" w:after="240" w:line="240" w:lineRule="auto"/>
        <w:ind w:left="240"/>
        <w:rPr>
          <w:rFonts w:ascii="Arial" w:eastAsia="Times New Roman" w:hAnsi="Arial" w:cs="Arial"/>
          <w:color w:val="000000"/>
          <w:sz w:val="24"/>
          <w:szCs w:val="24"/>
        </w:rPr>
      </w:pPr>
      <w:r w:rsidRPr="00E4421A">
        <w:rPr>
          <w:rFonts w:ascii="Arial" w:eastAsia="Times New Roman" w:hAnsi="Arial" w:cs="Arial"/>
          <w:color w:val="000000"/>
          <w:sz w:val="24"/>
          <w:szCs w:val="24"/>
        </w:rPr>
        <w:t xml:space="preserve">Silverlight also supports more full-featured techniques for producing bypass blocks that are based on common user interface features such as menus or toolbars. </w:t>
      </w:r>
      <w:r w:rsidRPr="00E4421A">
        <w:rPr>
          <w:rFonts w:ascii="Arial" w:eastAsia="Times New Roman" w:hAnsi="Arial" w:cs="Arial"/>
          <w:color w:val="000000"/>
          <w:sz w:val="24"/>
          <w:szCs w:val="24"/>
        </w:rPr>
        <w:lastRenderedPageBreak/>
        <w:t xml:space="preserve">However, using toolbars in Silverlight is inherently not as lightweight because the Silverlight core libraries themselves do not include a ready-made toolbar. Silverlight provides a </w:t>
      </w:r>
      <w:proofErr w:type="spellStart"/>
      <w:r w:rsidRPr="00E4421A">
        <w:rPr>
          <w:rFonts w:ascii="Courier New" w:eastAsia="Times New Roman" w:hAnsi="Courier New" w:cs="Courier New"/>
          <w:color w:val="000000"/>
        </w:rPr>
        <w:t>ContextMenu</w:t>
      </w:r>
      <w:proofErr w:type="spellEnd"/>
      <w:r w:rsidRPr="00E4421A">
        <w:rPr>
          <w:rFonts w:ascii="Arial" w:eastAsia="Times New Roman" w:hAnsi="Arial" w:cs="Arial"/>
          <w:color w:val="000000"/>
          <w:sz w:val="24"/>
          <w:szCs w:val="24"/>
        </w:rPr>
        <w:t xml:space="preserve"> as part of the Silverlight Toolkit extensions, but the behavior of this particular menu does not easily address the bypass block scenario. Silverlight includes all the infrastructure and necessary base classes for defining a toolbar or a menu that could address the bypass block scenario. Many third-party control implementations of menus and toolbars exist, either as part of control packages that are sold by control vendors, or through community mechanisms such as </w:t>
      </w:r>
      <w:proofErr w:type="spellStart"/>
      <w:r w:rsidRPr="00E4421A">
        <w:rPr>
          <w:rFonts w:ascii="Arial" w:eastAsia="Times New Roman" w:hAnsi="Arial" w:cs="Arial"/>
          <w:color w:val="000000"/>
          <w:sz w:val="24"/>
          <w:szCs w:val="24"/>
        </w:rPr>
        <w:t>CodePlex</w:t>
      </w:r>
      <w:proofErr w:type="spellEnd"/>
      <w:r w:rsidRPr="00E4421A">
        <w:rPr>
          <w:rFonts w:ascii="Arial" w:eastAsia="Times New Roman" w:hAnsi="Arial" w:cs="Arial"/>
          <w:color w:val="000000"/>
          <w:sz w:val="24"/>
          <w:szCs w:val="24"/>
        </w:rPr>
        <w:t xml:space="preserve"> or third-party sites that provide free source code. For some examples, see the following: </w:t>
      </w:r>
    </w:p>
    <w:p w:rsidR="00E4421A" w:rsidRPr="00E4421A" w:rsidRDefault="00E4421A" w:rsidP="00E4421A">
      <w:pPr>
        <w:numPr>
          <w:ilvl w:val="0"/>
          <w:numId w:val="9"/>
        </w:numPr>
        <w:spacing w:after="0" w:line="240" w:lineRule="auto"/>
        <w:ind w:left="240"/>
        <w:rPr>
          <w:rFonts w:ascii="Arial" w:eastAsia="Times New Roman" w:hAnsi="Arial" w:cs="Arial"/>
          <w:color w:val="000000"/>
          <w:sz w:val="24"/>
          <w:szCs w:val="24"/>
        </w:rPr>
      </w:pPr>
      <w:hyperlink r:id="rId9" w:history="1">
        <w:r w:rsidRPr="00E4421A">
          <w:rPr>
            <w:rFonts w:ascii="Arial" w:eastAsia="Times New Roman" w:hAnsi="Arial" w:cs="Arial"/>
            <w:color w:val="0000FF"/>
            <w:sz w:val="24"/>
            <w:szCs w:val="24"/>
            <w:u w:val="single"/>
          </w:rPr>
          <w:t>http://demos.telerik.com/silverlight/</w:t>
        </w:r>
      </w:hyperlink>
      <w:r w:rsidRPr="00E4421A">
        <w:rPr>
          <w:rFonts w:ascii="Arial" w:eastAsia="Times New Roman" w:hAnsi="Arial" w:cs="Arial"/>
          <w:color w:val="000000"/>
          <w:sz w:val="24"/>
          <w:szCs w:val="24"/>
        </w:rPr>
        <w:t xml:space="preserve"> </w:t>
      </w:r>
    </w:p>
    <w:p w:rsidR="00E4421A" w:rsidRPr="00E4421A" w:rsidRDefault="00E4421A" w:rsidP="00E4421A">
      <w:pPr>
        <w:numPr>
          <w:ilvl w:val="0"/>
          <w:numId w:val="9"/>
        </w:numPr>
        <w:spacing w:after="0" w:line="240" w:lineRule="auto"/>
        <w:ind w:left="240"/>
        <w:rPr>
          <w:rFonts w:ascii="Arial" w:eastAsia="Times New Roman" w:hAnsi="Arial" w:cs="Arial"/>
          <w:color w:val="000000"/>
          <w:sz w:val="24"/>
          <w:szCs w:val="24"/>
        </w:rPr>
      </w:pPr>
      <w:hyperlink r:id="rId10" w:history="1">
        <w:r w:rsidRPr="00E4421A">
          <w:rPr>
            <w:rFonts w:ascii="Arial" w:eastAsia="Times New Roman" w:hAnsi="Arial" w:cs="Arial"/>
            <w:color w:val="0000FF"/>
            <w:sz w:val="24"/>
            <w:szCs w:val="24"/>
            <w:u w:val="single"/>
          </w:rPr>
          <w:t>http://www.componentone.com/Studio/Platform/Silverlight</w:t>
        </w:r>
      </w:hyperlink>
      <w:r w:rsidRPr="00E4421A">
        <w:rPr>
          <w:rFonts w:ascii="Arial" w:eastAsia="Times New Roman" w:hAnsi="Arial" w:cs="Arial"/>
          <w:color w:val="000000"/>
          <w:sz w:val="24"/>
          <w:szCs w:val="24"/>
        </w:rPr>
        <w:t xml:space="preserve"> </w:t>
      </w:r>
    </w:p>
    <w:p w:rsidR="00E4421A" w:rsidRPr="00E4421A" w:rsidRDefault="00E4421A" w:rsidP="00E4421A">
      <w:pPr>
        <w:numPr>
          <w:ilvl w:val="0"/>
          <w:numId w:val="9"/>
        </w:numPr>
        <w:spacing w:after="0" w:line="240" w:lineRule="auto"/>
        <w:ind w:left="240"/>
        <w:rPr>
          <w:rFonts w:ascii="Arial" w:eastAsia="Times New Roman" w:hAnsi="Arial" w:cs="Arial"/>
          <w:color w:val="000000"/>
          <w:sz w:val="24"/>
          <w:szCs w:val="24"/>
        </w:rPr>
      </w:pPr>
      <w:hyperlink r:id="rId11" w:history="1">
        <w:r w:rsidRPr="00E4421A">
          <w:rPr>
            <w:rFonts w:ascii="Arial" w:eastAsia="Times New Roman" w:hAnsi="Arial" w:cs="Arial"/>
            <w:color w:val="0000FF"/>
            <w:sz w:val="24"/>
            <w:szCs w:val="24"/>
            <w:u w:val="single"/>
          </w:rPr>
          <w:t>http://www.vectorlight.net/silverlight/controls</w:t>
        </w:r>
      </w:hyperlink>
      <w:r w:rsidRPr="00E4421A">
        <w:rPr>
          <w:rFonts w:ascii="Arial" w:eastAsia="Times New Roman" w:hAnsi="Arial" w:cs="Arial"/>
          <w:color w:val="000000"/>
          <w:sz w:val="24"/>
          <w:szCs w:val="24"/>
        </w:rPr>
        <w:t xml:space="preserve"> </w:t>
      </w:r>
    </w:p>
    <w:p w:rsidR="00E4421A" w:rsidRPr="00E4421A" w:rsidRDefault="00E4421A" w:rsidP="00E4421A">
      <w:pPr>
        <w:spacing w:before="240" w:after="240" w:line="240" w:lineRule="auto"/>
        <w:ind w:left="240"/>
        <w:rPr>
          <w:rFonts w:ascii="Arial" w:eastAsia="Times New Roman" w:hAnsi="Arial" w:cs="Arial"/>
          <w:color w:val="000000"/>
          <w:sz w:val="24"/>
          <w:szCs w:val="24"/>
        </w:rPr>
      </w:pPr>
      <w:r w:rsidRPr="00E4421A">
        <w:rPr>
          <w:rFonts w:ascii="Arial" w:eastAsia="Times New Roman" w:hAnsi="Arial" w:cs="Arial"/>
          <w:color w:val="000000"/>
          <w:sz w:val="24"/>
          <w:szCs w:val="24"/>
        </w:rPr>
        <w:t xml:space="preserve">If application authors use a built-in control such as </w:t>
      </w:r>
      <w:hyperlink r:id="rId12" w:history="1">
        <w:proofErr w:type="spellStart"/>
        <w:r w:rsidRPr="00E4421A">
          <w:rPr>
            <w:rFonts w:ascii="Arial" w:eastAsia="Times New Roman" w:hAnsi="Arial" w:cs="Arial"/>
            <w:color w:val="0000FF"/>
            <w:sz w:val="24"/>
            <w:szCs w:val="24"/>
            <w:u w:val="single"/>
          </w:rPr>
          <w:t>ListBox</w:t>
        </w:r>
        <w:proofErr w:type="spellEnd"/>
      </w:hyperlink>
      <w:r w:rsidRPr="00E4421A">
        <w:rPr>
          <w:rFonts w:ascii="Arial" w:eastAsia="Times New Roman" w:hAnsi="Arial" w:cs="Arial"/>
          <w:color w:val="000000"/>
          <w:sz w:val="24"/>
          <w:szCs w:val="24"/>
        </w:rPr>
        <w:t xml:space="preserve"> where the accessibility framework reported role is not traditionally associated with a navigation role, it is a best practice to set </w:t>
      </w:r>
      <w:proofErr w:type="spellStart"/>
      <w:r w:rsidRPr="00E4421A">
        <w:rPr>
          <w:rFonts w:ascii="Courier New" w:eastAsia="Times New Roman" w:hAnsi="Courier New" w:cs="Courier New"/>
          <w:color w:val="000000"/>
        </w:rPr>
        <w:t>AutomationProperties.Name</w:t>
      </w:r>
      <w:proofErr w:type="spellEnd"/>
      <w:r w:rsidRPr="00E4421A">
        <w:rPr>
          <w:rFonts w:ascii="Arial" w:eastAsia="Times New Roman" w:hAnsi="Arial" w:cs="Arial"/>
          <w:color w:val="000000"/>
          <w:sz w:val="24"/>
          <w:szCs w:val="24"/>
        </w:rPr>
        <w:t xml:space="preserve"> such that the name informs the user of the purpose of the list control. Otherwise, the role alone leaves this ambiguous. For example, an author might name the list control "Navigation control". </w:t>
      </w:r>
    </w:p>
    <w:p w:rsidR="00E4421A" w:rsidRPr="00E4421A" w:rsidRDefault="00E4421A" w:rsidP="00E4421A">
      <w:pPr>
        <w:spacing w:before="240" w:after="240" w:line="240" w:lineRule="auto"/>
        <w:ind w:left="240"/>
        <w:rPr>
          <w:rFonts w:ascii="Arial" w:eastAsia="Times New Roman" w:hAnsi="Arial" w:cs="Arial"/>
          <w:color w:val="000000"/>
          <w:sz w:val="24"/>
          <w:szCs w:val="24"/>
        </w:rPr>
      </w:pPr>
      <w:r w:rsidRPr="00E4421A">
        <w:rPr>
          <w:rFonts w:ascii="Arial" w:eastAsia="Times New Roman" w:hAnsi="Arial" w:cs="Arial"/>
          <w:color w:val="000000"/>
          <w:sz w:val="24"/>
          <w:szCs w:val="24"/>
        </w:rPr>
        <w:t xml:space="preserve">Often the List control itself is focusable. So long as the List control has a visual focus indicator, that behavior might be acceptable. However, it might provide a better user experience to deliberately have the List itself non-focusable, and instead have focus fall to the first List item when focus reaches that region. Otherwise, the List might be perceived as an "extra" tab stop to some users. To enable that behavior, set </w:t>
      </w:r>
      <w:hyperlink r:id="rId13" w:history="1">
        <w:proofErr w:type="spellStart"/>
        <w:r w:rsidRPr="00E4421A">
          <w:rPr>
            <w:rFonts w:ascii="Arial" w:eastAsia="Times New Roman" w:hAnsi="Arial" w:cs="Arial"/>
            <w:color w:val="0000FF"/>
            <w:sz w:val="24"/>
            <w:szCs w:val="24"/>
            <w:u w:val="single"/>
          </w:rPr>
          <w:t>IsTabStop</w:t>
        </w:r>
        <w:proofErr w:type="spellEnd"/>
      </w:hyperlink>
      <w:r w:rsidRPr="00E4421A">
        <w:rPr>
          <w:rFonts w:ascii="Arial" w:eastAsia="Times New Roman" w:hAnsi="Arial" w:cs="Arial"/>
          <w:color w:val="000000"/>
          <w:sz w:val="24"/>
          <w:szCs w:val="24"/>
        </w:rPr>
        <w:t xml:space="preserve"> to false on the List control. The List itself still provides the intended tab navigation behavior, and is still reported and identified to accessibility frameworks and assistive technologies, even when the List container is not focusable. This is shown in Example 1, by setting </w:t>
      </w:r>
      <w:proofErr w:type="spellStart"/>
      <w:r w:rsidRPr="00E4421A">
        <w:rPr>
          <w:rFonts w:ascii="Courier New" w:eastAsia="Times New Roman" w:hAnsi="Courier New" w:cs="Courier New"/>
          <w:color w:val="000000"/>
        </w:rPr>
        <w:t>IsTabStop</w:t>
      </w:r>
      <w:proofErr w:type="spellEnd"/>
      <w:r w:rsidRPr="00E4421A">
        <w:rPr>
          <w:rFonts w:ascii="Arial" w:eastAsia="Times New Roman" w:hAnsi="Arial" w:cs="Arial"/>
          <w:color w:val="000000"/>
          <w:sz w:val="24"/>
          <w:szCs w:val="24"/>
        </w:rPr>
        <w:t xml:space="preserve"> as part of a </w:t>
      </w:r>
      <w:hyperlink r:id="rId14" w:history="1">
        <w:r w:rsidRPr="00E4421A">
          <w:rPr>
            <w:rFonts w:ascii="Arial" w:eastAsia="Times New Roman" w:hAnsi="Arial" w:cs="Arial"/>
            <w:color w:val="0000FF"/>
            <w:sz w:val="24"/>
            <w:szCs w:val="24"/>
            <w:u w:val="single"/>
          </w:rPr>
          <w:t>Style</w:t>
        </w:r>
      </w:hyperlink>
      <w:r w:rsidRPr="00E4421A">
        <w:rPr>
          <w:rFonts w:ascii="Arial" w:eastAsia="Times New Roman" w:hAnsi="Arial" w:cs="Arial"/>
          <w:color w:val="000000"/>
          <w:sz w:val="24"/>
          <w:szCs w:val="24"/>
        </w:rPr>
        <w:t xml:space="preserve">. </w:t>
      </w:r>
    </w:p>
    <w:p w:rsidR="00E4421A" w:rsidRPr="00E4421A" w:rsidRDefault="00E4421A" w:rsidP="00E4421A">
      <w:pPr>
        <w:spacing w:before="240" w:after="240" w:line="240" w:lineRule="auto"/>
        <w:ind w:left="240"/>
        <w:rPr>
          <w:rFonts w:ascii="Arial" w:eastAsia="Times New Roman" w:hAnsi="Arial" w:cs="Arial"/>
          <w:color w:val="000000"/>
          <w:sz w:val="24"/>
          <w:szCs w:val="24"/>
        </w:rPr>
      </w:pPr>
      <w:r w:rsidRPr="00E4421A">
        <w:rPr>
          <w:rFonts w:ascii="Arial" w:eastAsia="Times New Roman" w:hAnsi="Arial" w:cs="Arial"/>
          <w:color w:val="000000"/>
          <w:sz w:val="24"/>
          <w:szCs w:val="24"/>
        </w:rPr>
        <w:t>When an accessibility framework presents a List, assistive technologies are generally expected to continue to support use of the same key behavior as the default behavior, and to report to users that the item is a List when it is focused. If assistive technologies use the accessibility framework APIs for navigation, the items in the list are considered child elements. Navigating either by spatial direction (e.g. NAVDIR_RIGHT in MSAA) or sequential direction (e.g. NAVDIR_NEXT in MSAA) skips the list items and goes to the spatial/next peer.</w:t>
      </w:r>
    </w:p>
    <w:p w:rsidR="00BA1711" w:rsidRDefault="00BA1711"/>
    <w:sectPr w:rsidR="00BA1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4200C"/>
    <w:multiLevelType w:val="multilevel"/>
    <w:tmpl w:val="5332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A346F"/>
    <w:multiLevelType w:val="multilevel"/>
    <w:tmpl w:val="9D1E1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74353"/>
    <w:multiLevelType w:val="multilevel"/>
    <w:tmpl w:val="282C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D60367"/>
    <w:multiLevelType w:val="multilevel"/>
    <w:tmpl w:val="53AC5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6B486F"/>
    <w:multiLevelType w:val="multilevel"/>
    <w:tmpl w:val="18D88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0863CA"/>
    <w:multiLevelType w:val="multilevel"/>
    <w:tmpl w:val="179AC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56495B"/>
    <w:multiLevelType w:val="multilevel"/>
    <w:tmpl w:val="F91EB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7D0819"/>
    <w:multiLevelType w:val="multilevel"/>
    <w:tmpl w:val="9D6A8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DE60C3"/>
    <w:multiLevelType w:val="multilevel"/>
    <w:tmpl w:val="C45A2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6"/>
  </w:num>
  <w:num w:numId="4">
    <w:abstractNumId w:val="3"/>
  </w:num>
  <w:num w:numId="5">
    <w:abstractNumId w:val="1"/>
  </w:num>
  <w:num w:numId="6">
    <w:abstractNumId w:val="7"/>
  </w:num>
  <w:num w:numId="7">
    <w:abstractNumId w:val="5"/>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8C1"/>
    <w:rsid w:val="002108C1"/>
    <w:rsid w:val="00906F8C"/>
    <w:rsid w:val="00BA1711"/>
    <w:rsid w:val="00C075D2"/>
    <w:rsid w:val="00E4421A"/>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DB984"/>
  <w15:chartTrackingRefBased/>
  <w15:docId w15:val="{1D6EB09B-8D8B-4A4A-8587-C416D6F1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108C1"/>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2108C1"/>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08C1"/>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2108C1"/>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2108C1"/>
    <w:rPr>
      <w:color w:val="0000FF"/>
      <w:u w:val="single"/>
    </w:rPr>
  </w:style>
  <w:style w:type="paragraph" w:styleId="NormalWeb">
    <w:name w:val="Normal (Web)"/>
    <w:basedOn w:val="Normal"/>
    <w:uiPriority w:val="99"/>
    <w:semiHidden/>
    <w:unhideWhenUsed/>
    <w:rsid w:val="002108C1"/>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2108C1"/>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2108C1"/>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2108C1"/>
    <w:rPr>
      <w:i/>
      <w:iCs/>
    </w:rPr>
  </w:style>
  <w:style w:type="paragraph" w:customStyle="1" w:styleId="prefix2">
    <w:name w:val="prefix2"/>
    <w:basedOn w:val="Normal"/>
    <w:rsid w:val="002108C1"/>
    <w:pPr>
      <w:spacing w:before="60" w:after="120" w:line="240" w:lineRule="auto"/>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E4421A"/>
    <w:rPr>
      <w:rFonts w:ascii="Courier New" w:eastAsia="Times New Roman" w:hAnsi="Courier New" w:cs="Courier New" w:hint="default"/>
      <w:cap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80147">
      <w:bodyDiv w:val="1"/>
      <w:marLeft w:val="0"/>
      <w:marRight w:val="0"/>
      <w:marTop w:val="0"/>
      <w:marBottom w:val="0"/>
      <w:divBdr>
        <w:top w:val="none" w:sz="0" w:space="0" w:color="auto"/>
        <w:left w:val="none" w:sz="0" w:space="0" w:color="auto"/>
        <w:bottom w:val="none" w:sz="0" w:space="0" w:color="auto"/>
        <w:right w:val="none" w:sz="0" w:space="0" w:color="auto"/>
      </w:divBdr>
      <w:divsChild>
        <w:div w:id="1600404396">
          <w:marLeft w:val="0"/>
          <w:marRight w:val="0"/>
          <w:marTop w:val="0"/>
          <w:marBottom w:val="0"/>
          <w:divBdr>
            <w:top w:val="none" w:sz="0" w:space="0" w:color="auto"/>
            <w:left w:val="none" w:sz="0" w:space="0" w:color="auto"/>
            <w:bottom w:val="none" w:sz="0" w:space="0" w:color="auto"/>
            <w:right w:val="none" w:sz="0" w:space="0" w:color="auto"/>
          </w:divBdr>
        </w:div>
        <w:div w:id="1694262489">
          <w:marLeft w:val="0"/>
          <w:marRight w:val="0"/>
          <w:marTop w:val="0"/>
          <w:marBottom w:val="0"/>
          <w:divBdr>
            <w:top w:val="none" w:sz="0" w:space="0" w:color="auto"/>
            <w:left w:val="none" w:sz="0" w:space="0" w:color="auto"/>
            <w:bottom w:val="none" w:sz="0" w:space="0" w:color="auto"/>
            <w:right w:val="none" w:sz="0" w:space="0" w:color="auto"/>
          </w:divBdr>
          <w:divsChild>
            <w:div w:id="985546582">
              <w:marLeft w:val="0"/>
              <w:marRight w:val="0"/>
              <w:marTop w:val="0"/>
              <w:marBottom w:val="0"/>
              <w:divBdr>
                <w:top w:val="none" w:sz="0" w:space="0" w:color="auto"/>
                <w:left w:val="none" w:sz="0" w:space="0" w:color="auto"/>
                <w:bottom w:val="none" w:sz="0" w:space="0" w:color="auto"/>
                <w:right w:val="none" w:sz="0" w:space="0" w:color="auto"/>
              </w:divBdr>
            </w:div>
          </w:divsChild>
        </w:div>
        <w:div w:id="901256737">
          <w:marLeft w:val="0"/>
          <w:marRight w:val="0"/>
          <w:marTop w:val="0"/>
          <w:marBottom w:val="0"/>
          <w:divBdr>
            <w:top w:val="none" w:sz="0" w:space="0" w:color="auto"/>
            <w:left w:val="none" w:sz="0" w:space="0" w:color="auto"/>
            <w:bottom w:val="none" w:sz="0" w:space="0" w:color="auto"/>
            <w:right w:val="none" w:sz="0" w:space="0" w:color="auto"/>
          </w:divBdr>
        </w:div>
        <w:div w:id="1616592060">
          <w:marLeft w:val="0"/>
          <w:marRight w:val="0"/>
          <w:marTop w:val="0"/>
          <w:marBottom w:val="0"/>
          <w:divBdr>
            <w:top w:val="none" w:sz="0" w:space="0" w:color="auto"/>
            <w:left w:val="none" w:sz="0" w:space="0" w:color="auto"/>
            <w:bottom w:val="none" w:sz="0" w:space="0" w:color="auto"/>
            <w:right w:val="none" w:sz="0" w:space="0" w:color="auto"/>
          </w:divBdr>
        </w:div>
      </w:divsChild>
    </w:div>
    <w:div w:id="399406318">
      <w:bodyDiv w:val="1"/>
      <w:marLeft w:val="0"/>
      <w:marRight w:val="0"/>
      <w:marTop w:val="0"/>
      <w:marBottom w:val="0"/>
      <w:divBdr>
        <w:top w:val="none" w:sz="0" w:space="0" w:color="auto"/>
        <w:left w:val="none" w:sz="0" w:space="0" w:color="auto"/>
        <w:bottom w:val="none" w:sz="0" w:space="0" w:color="auto"/>
        <w:right w:val="none" w:sz="0" w:space="0" w:color="auto"/>
      </w:divBdr>
      <w:divsChild>
        <w:div w:id="1976985465">
          <w:marLeft w:val="0"/>
          <w:marRight w:val="0"/>
          <w:marTop w:val="0"/>
          <w:marBottom w:val="0"/>
          <w:divBdr>
            <w:top w:val="none" w:sz="0" w:space="0" w:color="auto"/>
            <w:left w:val="none" w:sz="0" w:space="0" w:color="auto"/>
            <w:bottom w:val="none" w:sz="0" w:space="0" w:color="auto"/>
            <w:right w:val="none" w:sz="0" w:space="0" w:color="auto"/>
          </w:divBdr>
        </w:div>
        <w:div w:id="973024070">
          <w:marLeft w:val="0"/>
          <w:marRight w:val="0"/>
          <w:marTop w:val="0"/>
          <w:marBottom w:val="0"/>
          <w:divBdr>
            <w:top w:val="none" w:sz="0" w:space="0" w:color="auto"/>
            <w:left w:val="none" w:sz="0" w:space="0" w:color="auto"/>
            <w:bottom w:val="none" w:sz="0" w:space="0" w:color="auto"/>
            <w:right w:val="none" w:sz="0" w:space="0" w:color="auto"/>
          </w:divBdr>
          <w:divsChild>
            <w:div w:id="776676036">
              <w:marLeft w:val="0"/>
              <w:marRight w:val="0"/>
              <w:marTop w:val="0"/>
              <w:marBottom w:val="0"/>
              <w:divBdr>
                <w:top w:val="none" w:sz="0" w:space="0" w:color="auto"/>
                <w:left w:val="none" w:sz="0" w:space="0" w:color="auto"/>
                <w:bottom w:val="none" w:sz="0" w:space="0" w:color="auto"/>
                <w:right w:val="none" w:sz="0" w:space="0" w:color="auto"/>
              </w:divBdr>
            </w:div>
          </w:divsChild>
        </w:div>
        <w:div w:id="566109661">
          <w:marLeft w:val="0"/>
          <w:marRight w:val="0"/>
          <w:marTop w:val="0"/>
          <w:marBottom w:val="0"/>
          <w:divBdr>
            <w:top w:val="none" w:sz="0" w:space="0" w:color="auto"/>
            <w:left w:val="none" w:sz="0" w:space="0" w:color="auto"/>
            <w:bottom w:val="none" w:sz="0" w:space="0" w:color="auto"/>
            <w:right w:val="none" w:sz="0" w:space="0" w:color="auto"/>
          </w:divBdr>
        </w:div>
        <w:div w:id="642583710">
          <w:marLeft w:val="0"/>
          <w:marRight w:val="0"/>
          <w:marTop w:val="0"/>
          <w:marBottom w:val="0"/>
          <w:divBdr>
            <w:top w:val="none" w:sz="0" w:space="0" w:color="auto"/>
            <w:left w:val="none" w:sz="0" w:space="0" w:color="auto"/>
            <w:bottom w:val="none" w:sz="0" w:space="0" w:color="auto"/>
            <w:right w:val="none" w:sz="0" w:space="0" w:color="auto"/>
          </w:divBdr>
          <w:divsChild>
            <w:div w:id="118806392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093866982">
      <w:bodyDiv w:val="1"/>
      <w:marLeft w:val="0"/>
      <w:marRight w:val="0"/>
      <w:marTop w:val="0"/>
      <w:marBottom w:val="0"/>
      <w:divBdr>
        <w:top w:val="none" w:sz="0" w:space="0" w:color="auto"/>
        <w:left w:val="none" w:sz="0" w:space="0" w:color="auto"/>
        <w:bottom w:val="none" w:sz="0" w:space="0" w:color="auto"/>
        <w:right w:val="none" w:sz="0" w:space="0" w:color="auto"/>
      </w:divBdr>
      <w:divsChild>
        <w:div w:id="1523085785">
          <w:marLeft w:val="0"/>
          <w:marRight w:val="0"/>
          <w:marTop w:val="0"/>
          <w:marBottom w:val="0"/>
          <w:divBdr>
            <w:top w:val="none" w:sz="0" w:space="0" w:color="auto"/>
            <w:left w:val="none" w:sz="0" w:space="0" w:color="auto"/>
            <w:bottom w:val="none" w:sz="0" w:space="0" w:color="auto"/>
            <w:right w:val="none" w:sz="0" w:space="0" w:color="auto"/>
          </w:divBdr>
        </w:div>
        <w:div w:id="1877958948">
          <w:marLeft w:val="0"/>
          <w:marRight w:val="0"/>
          <w:marTop w:val="0"/>
          <w:marBottom w:val="0"/>
          <w:divBdr>
            <w:top w:val="none" w:sz="0" w:space="0" w:color="auto"/>
            <w:left w:val="none" w:sz="0" w:space="0" w:color="auto"/>
            <w:bottom w:val="none" w:sz="0" w:space="0" w:color="auto"/>
            <w:right w:val="none" w:sz="0" w:space="0" w:color="auto"/>
          </w:divBdr>
          <w:divsChild>
            <w:div w:id="1324627154">
              <w:marLeft w:val="0"/>
              <w:marRight w:val="0"/>
              <w:marTop w:val="0"/>
              <w:marBottom w:val="0"/>
              <w:divBdr>
                <w:top w:val="none" w:sz="0" w:space="0" w:color="auto"/>
                <w:left w:val="none" w:sz="0" w:space="0" w:color="auto"/>
                <w:bottom w:val="none" w:sz="0" w:space="0" w:color="auto"/>
                <w:right w:val="none" w:sz="0" w:space="0" w:color="auto"/>
              </w:divBdr>
            </w:div>
          </w:divsChild>
        </w:div>
        <w:div w:id="1676876756">
          <w:marLeft w:val="0"/>
          <w:marRight w:val="0"/>
          <w:marTop w:val="0"/>
          <w:marBottom w:val="0"/>
          <w:divBdr>
            <w:top w:val="none" w:sz="0" w:space="0" w:color="auto"/>
            <w:left w:val="none" w:sz="0" w:space="0" w:color="auto"/>
            <w:bottom w:val="none" w:sz="0" w:space="0" w:color="auto"/>
            <w:right w:val="none" w:sz="0" w:space="0" w:color="auto"/>
          </w:divBdr>
        </w:div>
        <w:div w:id="889196587">
          <w:marLeft w:val="0"/>
          <w:marRight w:val="0"/>
          <w:marTop w:val="0"/>
          <w:marBottom w:val="0"/>
          <w:divBdr>
            <w:top w:val="none" w:sz="0" w:space="0" w:color="auto"/>
            <w:left w:val="none" w:sz="0" w:space="0" w:color="auto"/>
            <w:bottom w:val="none" w:sz="0" w:space="0" w:color="auto"/>
            <w:right w:val="none" w:sz="0" w:space="0" w:color="auto"/>
          </w:divBdr>
        </w:div>
      </w:divsChild>
    </w:div>
    <w:div w:id="1198277365">
      <w:bodyDiv w:val="1"/>
      <w:marLeft w:val="0"/>
      <w:marRight w:val="0"/>
      <w:marTop w:val="0"/>
      <w:marBottom w:val="0"/>
      <w:divBdr>
        <w:top w:val="none" w:sz="0" w:space="0" w:color="auto"/>
        <w:left w:val="none" w:sz="0" w:space="0" w:color="auto"/>
        <w:bottom w:val="none" w:sz="0" w:space="0" w:color="auto"/>
        <w:right w:val="none" w:sz="0" w:space="0" w:color="auto"/>
      </w:divBdr>
      <w:divsChild>
        <w:div w:id="1453286716">
          <w:marLeft w:val="0"/>
          <w:marRight w:val="0"/>
          <w:marTop w:val="0"/>
          <w:marBottom w:val="0"/>
          <w:divBdr>
            <w:top w:val="none" w:sz="0" w:space="0" w:color="auto"/>
            <w:left w:val="none" w:sz="0" w:space="0" w:color="auto"/>
            <w:bottom w:val="none" w:sz="0" w:space="0" w:color="auto"/>
            <w:right w:val="none" w:sz="0" w:space="0" w:color="auto"/>
          </w:divBdr>
        </w:div>
        <w:div w:id="1153716356">
          <w:marLeft w:val="0"/>
          <w:marRight w:val="0"/>
          <w:marTop w:val="0"/>
          <w:marBottom w:val="0"/>
          <w:divBdr>
            <w:top w:val="none" w:sz="0" w:space="0" w:color="auto"/>
            <w:left w:val="none" w:sz="0" w:space="0" w:color="auto"/>
            <w:bottom w:val="none" w:sz="0" w:space="0" w:color="auto"/>
            <w:right w:val="none" w:sz="0" w:space="0" w:color="auto"/>
          </w:divBdr>
          <w:divsChild>
            <w:div w:id="1607230439">
              <w:marLeft w:val="0"/>
              <w:marRight w:val="0"/>
              <w:marTop w:val="0"/>
              <w:marBottom w:val="0"/>
              <w:divBdr>
                <w:top w:val="none" w:sz="0" w:space="0" w:color="auto"/>
                <w:left w:val="none" w:sz="0" w:space="0" w:color="auto"/>
                <w:bottom w:val="none" w:sz="0" w:space="0" w:color="auto"/>
                <w:right w:val="none" w:sz="0" w:space="0" w:color="auto"/>
              </w:divBdr>
            </w:div>
          </w:divsChild>
        </w:div>
        <w:div w:id="1851947482">
          <w:marLeft w:val="0"/>
          <w:marRight w:val="0"/>
          <w:marTop w:val="0"/>
          <w:marBottom w:val="0"/>
          <w:divBdr>
            <w:top w:val="none" w:sz="0" w:space="0" w:color="auto"/>
            <w:left w:val="none" w:sz="0" w:space="0" w:color="auto"/>
            <w:bottom w:val="none" w:sz="0" w:space="0" w:color="auto"/>
            <w:right w:val="none" w:sz="0" w:space="0" w:color="auto"/>
          </w:divBdr>
          <w:divsChild>
            <w:div w:id="749161347">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576276595">
      <w:bodyDiv w:val="1"/>
      <w:marLeft w:val="0"/>
      <w:marRight w:val="0"/>
      <w:marTop w:val="0"/>
      <w:marBottom w:val="0"/>
      <w:divBdr>
        <w:top w:val="none" w:sz="0" w:space="0" w:color="auto"/>
        <w:left w:val="none" w:sz="0" w:space="0" w:color="auto"/>
        <w:bottom w:val="none" w:sz="0" w:space="0" w:color="auto"/>
        <w:right w:val="none" w:sz="0" w:space="0" w:color="auto"/>
      </w:divBdr>
      <w:divsChild>
        <w:div w:id="539900079">
          <w:marLeft w:val="0"/>
          <w:marRight w:val="0"/>
          <w:marTop w:val="0"/>
          <w:marBottom w:val="0"/>
          <w:divBdr>
            <w:top w:val="none" w:sz="0" w:space="0" w:color="auto"/>
            <w:left w:val="none" w:sz="0" w:space="0" w:color="auto"/>
            <w:bottom w:val="none" w:sz="0" w:space="0" w:color="auto"/>
            <w:right w:val="none" w:sz="0" w:space="0" w:color="auto"/>
          </w:divBdr>
        </w:div>
        <w:div w:id="944845905">
          <w:marLeft w:val="0"/>
          <w:marRight w:val="0"/>
          <w:marTop w:val="0"/>
          <w:marBottom w:val="0"/>
          <w:divBdr>
            <w:top w:val="none" w:sz="0" w:space="0" w:color="auto"/>
            <w:left w:val="none" w:sz="0" w:space="0" w:color="auto"/>
            <w:bottom w:val="none" w:sz="0" w:space="0" w:color="auto"/>
            <w:right w:val="none" w:sz="0" w:space="0" w:color="auto"/>
          </w:divBdr>
          <w:divsChild>
            <w:div w:id="405690045">
              <w:marLeft w:val="0"/>
              <w:marRight w:val="0"/>
              <w:marTop w:val="0"/>
              <w:marBottom w:val="0"/>
              <w:divBdr>
                <w:top w:val="none" w:sz="0" w:space="0" w:color="auto"/>
                <w:left w:val="none" w:sz="0" w:space="0" w:color="auto"/>
                <w:bottom w:val="none" w:sz="0" w:space="0" w:color="auto"/>
                <w:right w:val="none" w:sz="0" w:space="0" w:color="auto"/>
              </w:divBdr>
            </w:div>
          </w:divsChild>
        </w:div>
        <w:div w:id="248395706">
          <w:marLeft w:val="240"/>
          <w:marRight w:val="0"/>
          <w:marTop w:val="0"/>
          <w:marBottom w:val="120"/>
          <w:divBdr>
            <w:top w:val="none" w:sz="0" w:space="0" w:color="auto"/>
            <w:left w:val="single" w:sz="48" w:space="6" w:color="52E052"/>
            <w:bottom w:val="none" w:sz="0" w:space="0" w:color="auto"/>
            <w:right w:val="none" w:sz="0" w:space="0" w:color="auto"/>
          </w:divBdr>
        </w:div>
        <w:div w:id="1659991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en-us/library/system.windows.controls.listbox%28VS.95%29.aspx" TargetMode="External"/><Relationship Id="rId13" Type="http://schemas.openxmlformats.org/officeDocument/2006/relationships/hyperlink" Target="https://msdn.microsoft.com/en-us/library/system.windows.controls.control.istabstop%28VS.95%29.aspx" TargetMode="External"/><Relationship Id="rId3" Type="http://schemas.openxmlformats.org/officeDocument/2006/relationships/settings" Target="settings.xml"/><Relationship Id="rId7" Type="http://schemas.openxmlformats.org/officeDocument/2006/relationships/hyperlink" Target="https://msdn.microsoft.com/en-us/library/system.windows.controls.control.tabnavigation%28VS.95%29.aspx" TargetMode="External"/><Relationship Id="rId12" Type="http://schemas.openxmlformats.org/officeDocument/2006/relationships/hyperlink" Target="https://msdn.microsoft.com/en-us/library/system.windows.controls.listbox%28VS.95%29.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sdn.microsoft.com/en-us/library/system.windows.controls.listbox%28VS.95%29.aspx" TargetMode="External"/><Relationship Id="rId11" Type="http://schemas.openxmlformats.org/officeDocument/2006/relationships/hyperlink" Target="http://www.vectorlight.net/silverlight/controls" TargetMode="External"/><Relationship Id="rId5" Type="http://schemas.openxmlformats.org/officeDocument/2006/relationships/hyperlink" Target="http://www.w3.org/TR/UNDERSTANDING-WCAG20/text-equiv-all.html" TargetMode="External"/><Relationship Id="rId15" Type="http://schemas.openxmlformats.org/officeDocument/2006/relationships/fontTable" Target="fontTable.xml"/><Relationship Id="rId10" Type="http://schemas.openxmlformats.org/officeDocument/2006/relationships/hyperlink" Target="http://www.componentone.com/Studio/Platform/Silverlight" TargetMode="External"/><Relationship Id="rId4" Type="http://schemas.openxmlformats.org/officeDocument/2006/relationships/webSettings" Target="webSettings.xml"/><Relationship Id="rId9" Type="http://schemas.openxmlformats.org/officeDocument/2006/relationships/hyperlink" Target="http://demos.telerik.com/silverlight/" TargetMode="External"/><Relationship Id="rId14" Type="http://schemas.openxmlformats.org/officeDocument/2006/relationships/hyperlink" Target="https://msdn.microsoft.com/en-us/library/system.windows.style%28VS.95%2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aydin</cp:lastModifiedBy>
  <cp:revision>1</cp:revision>
  <dcterms:created xsi:type="dcterms:W3CDTF">2017-07-15T08:50:00Z</dcterms:created>
  <dcterms:modified xsi:type="dcterms:W3CDTF">2017-07-15T09:08:00Z</dcterms:modified>
</cp:coreProperties>
</file>